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0D0047">
      <w:pPr>
        <w:keepNext w:val="0"/>
        <w:keepLines w:val="0"/>
        <w:pageBreakBefore w:val="0"/>
        <w:widowControl w:val="0"/>
        <w:kinsoku/>
        <w:wordWrap/>
        <w:overflowPunct/>
        <w:topLinePunct w:val="0"/>
        <w:autoSpaceDE/>
        <w:autoSpaceDN/>
        <w:bidi w:val="0"/>
        <w:adjustRightInd/>
        <w:snapToGrid/>
        <w:jc w:val="both"/>
        <w:textAlignment w:val="auto"/>
        <w:rPr>
          <w:rFonts w:hint="default" w:ascii="黑体" w:hAnsi="黑体" w:eastAsia="黑体" w:cs="黑体"/>
          <w:sz w:val="32"/>
          <w:szCs w:val="40"/>
          <w:highlight w:val="none"/>
          <w:lang w:val="en-US" w:eastAsia="zh-CN"/>
        </w:rPr>
      </w:pPr>
      <w:r>
        <w:rPr>
          <w:rFonts w:hint="eastAsia" w:ascii="黑体" w:hAnsi="黑体" w:eastAsia="黑体" w:cs="黑体"/>
          <w:sz w:val="32"/>
          <w:szCs w:val="40"/>
          <w:highlight w:val="none"/>
          <w:lang w:val="en-US" w:eastAsia="zh-CN"/>
        </w:rPr>
        <w:t>附件5</w:t>
      </w:r>
    </w:p>
    <w:p w14:paraId="799AE47A">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b/>
          <w:bCs/>
          <w:sz w:val="36"/>
          <w:szCs w:val="36"/>
          <w:lang w:val="en-US" w:eastAsia="zh-CN"/>
        </w:rPr>
      </w:pPr>
      <w:r>
        <w:rPr>
          <w:rFonts w:hint="eastAsia" w:ascii="方正小标宋简体" w:hAnsi="方正小标宋简体" w:eastAsia="方正小标宋简体" w:cs="方正小标宋简体"/>
          <w:sz w:val="44"/>
          <w:szCs w:val="44"/>
          <w:lang w:eastAsia="zh-CN"/>
        </w:rPr>
        <w:t>吉安市农业用水权交易监督管理办法</w:t>
      </w:r>
      <w:r>
        <w:rPr>
          <w:rFonts w:hint="eastAsia" w:ascii="方正小标宋简体" w:hAnsi="方正小标宋简体" w:eastAsia="方正小标宋简体" w:cs="方正小标宋简体"/>
          <w:sz w:val="44"/>
          <w:szCs w:val="44"/>
          <w:lang w:val="en-US" w:eastAsia="zh-CN"/>
        </w:rPr>
        <w:t>（试行）</w:t>
      </w:r>
    </w:p>
    <w:p w14:paraId="3298D133">
      <w:pPr>
        <w:keepNext w:val="0"/>
        <w:keepLines w:val="0"/>
        <w:pageBreakBefore w:val="0"/>
        <w:widowControl w:val="0"/>
        <w:kinsoku/>
        <w:wordWrap/>
        <w:overflowPunct/>
        <w:topLinePunct w:val="0"/>
        <w:autoSpaceDE/>
        <w:autoSpaceDN/>
        <w:bidi w:val="0"/>
        <w:adjustRightInd/>
        <w:snapToGrid/>
        <w:spacing w:before="319" w:beforeLines="100" w:after="319" w:afterLines="100" w:line="560" w:lineRule="exact"/>
        <w:jc w:val="center"/>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第一章 总 则</w:t>
      </w:r>
    </w:p>
    <w:p w14:paraId="348529C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第一条</w:t>
      </w:r>
      <w:r>
        <w:rPr>
          <w:rFonts w:hint="eastAsia" w:ascii="仿宋_GB2312" w:hAnsi="仿宋_GB2312" w:eastAsia="仿宋_GB2312" w:cs="仿宋_GB2312"/>
          <w:sz w:val="32"/>
          <w:szCs w:val="32"/>
          <w:lang w:eastAsia="zh-CN"/>
        </w:rPr>
        <w:t xml:space="preserve"> 为加强吉安市农业用水权交易监督管理，防范控制用水权交易风险，维护交易各方合法权益，保障吉安市农业用水权交易正常进行，根据《中华人民共和国水法》《水权交易管理暂行办法》《江西省水资源条例》《江西省水权交易管理办法》《江西省水权交易规则（试行）》等有关规定，结合吉安市实际，制定本办法。 </w:t>
      </w:r>
    </w:p>
    <w:p w14:paraId="2A3FC17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第二条</w:t>
      </w:r>
      <w:r>
        <w:rPr>
          <w:rFonts w:hint="eastAsia" w:ascii="仿宋_GB2312" w:hAnsi="仿宋_GB2312" w:eastAsia="仿宋_GB2312" w:cs="仿宋_GB2312"/>
          <w:sz w:val="32"/>
          <w:szCs w:val="32"/>
          <w:lang w:eastAsia="zh-CN"/>
        </w:rPr>
        <w:t xml:space="preserve"> 在吉安市开展农业用水权交易及其监督管理的，适用本办法。 </w:t>
      </w:r>
    </w:p>
    <w:p w14:paraId="1203E2B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第三条</w:t>
      </w:r>
      <w:r>
        <w:rPr>
          <w:rFonts w:hint="eastAsia" w:ascii="仿宋_GB2312" w:hAnsi="仿宋_GB2312" w:eastAsia="仿宋_GB2312" w:cs="仿宋_GB2312"/>
          <w:sz w:val="32"/>
          <w:szCs w:val="32"/>
          <w:lang w:eastAsia="zh-CN"/>
        </w:rPr>
        <w:t xml:space="preserve"> 吉安市水利局指导全市农业用水权交易监督管理、农业用水权交易合规性审核，履行交易监管职能。 </w:t>
      </w:r>
    </w:p>
    <w:p w14:paraId="185385A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第四条</w:t>
      </w:r>
      <w:r>
        <w:rPr>
          <w:rFonts w:hint="eastAsia" w:ascii="仿宋_GB2312" w:hAnsi="仿宋_GB2312" w:eastAsia="仿宋_GB2312" w:cs="仿宋_GB2312"/>
          <w:sz w:val="32"/>
          <w:szCs w:val="32"/>
          <w:lang w:eastAsia="zh-CN"/>
        </w:rPr>
        <w:t xml:space="preserve"> 有关单位和个人应当接受吉安市水利局依法进行的农业用水权交易监督检查，并给予支持与配合，不得拒绝或阻碍。</w:t>
      </w:r>
    </w:p>
    <w:p w14:paraId="51F3BC56">
      <w:pPr>
        <w:keepNext w:val="0"/>
        <w:keepLines w:val="0"/>
        <w:pageBreakBefore w:val="0"/>
        <w:widowControl w:val="0"/>
        <w:kinsoku/>
        <w:wordWrap/>
        <w:overflowPunct/>
        <w:topLinePunct w:val="0"/>
        <w:autoSpaceDE/>
        <w:autoSpaceDN/>
        <w:bidi w:val="0"/>
        <w:adjustRightInd/>
        <w:snapToGrid/>
        <w:spacing w:before="319" w:beforeLines="100" w:after="319" w:afterLines="100" w:line="560" w:lineRule="exact"/>
        <w:jc w:val="center"/>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第二章 监督管理职责</w:t>
      </w:r>
    </w:p>
    <w:p w14:paraId="37E1364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第五条</w:t>
      </w:r>
      <w:r>
        <w:rPr>
          <w:rFonts w:hint="eastAsia" w:ascii="仿宋_GB2312" w:hAnsi="仿宋_GB2312" w:eastAsia="仿宋_GB2312" w:cs="仿宋_GB2312"/>
          <w:sz w:val="32"/>
          <w:szCs w:val="32"/>
          <w:lang w:eastAsia="zh-CN"/>
        </w:rPr>
        <w:t xml:space="preserve"> 吉安市水利局有关职责包括： </w:t>
      </w:r>
    </w:p>
    <w:p w14:paraId="5D46BC8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（一）监督农业用水权交易制度政策的执行； </w:t>
      </w:r>
    </w:p>
    <w:p w14:paraId="6935106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（二）监督农业用水权交易程序的履行； </w:t>
      </w:r>
    </w:p>
    <w:p w14:paraId="3499BA6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（三）监督农业用水权交易市场秩序；</w:t>
      </w:r>
    </w:p>
    <w:p w14:paraId="3D557BC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（四）监督农业用水权交易收益的使用； </w:t>
      </w:r>
    </w:p>
    <w:p w14:paraId="2DA859A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（五）指导、检查下级部门及吉安市两山科技有限公司（以下简称市“两山”公司）的农业用水权交易监督管理工作； </w:t>
      </w:r>
    </w:p>
    <w:p w14:paraId="683662D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（六）监督管理各级依法设立的农业用水权交易有关单位的相关活动； </w:t>
      </w:r>
    </w:p>
    <w:p w14:paraId="2C44DA1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第六条</w:t>
      </w:r>
      <w:r>
        <w:rPr>
          <w:rFonts w:hint="eastAsia" w:ascii="仿宋_GB2312" w:hAnsi="仿宋_GB2312" w:eastAsia="仿宋_GB2312" w:cs="仿宋_GB2312"/>
          <w:sz w:val="32"/>
          <w:szCs w:val="32"/>
          <w:lang w:eastAsia="zh-CN"/>
        </w:rPr>
        <w:t xml:space="preserve"> 吉安市水利局在履行职责时，有权要求： </w:t>
      </w:r>
    </w:p>
    <w:p w14:paraId="6B73256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（一）被检查单位提供有关农业用水权交易的文件和资料； </w:t>
      </w:r>
    </w:p>
    <w:p w14:paraId="6880C4F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（二）对有关农业经营主体、农村集体经济组织及农户调整种植结构、投资高效节水管理等措施进行现场核查； </w:t>
      </w:r>
    </w:p>
    <w:p w14:paraId="7F85FB5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（三）询问农业用水权交易主体单位及其他被检查对象的工作人员，要求其对有关检查事项作出说明； </w:t>
      </w:r>
    </w:p>
    <w:p w14:paraId="2428046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（四）核查、复制与检查事项有关文件、资料； </w:t>
      </w:r>
    </w:p>
    <w:p w14:paraId="24A38C9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（五）中止或撤销违规交易或其他异常交易。 </w:t>
      </w:r>
    </w:p>
    <w:p w14:paraId="3D2947CB">
      <w:pPr>
        <w:keepNext w:val="0"/>
        <w:keepLines w:val="0"/>
        <w:pageBreakBefore w:val="0"/>
        <w:widowControl w:val="0"/>
        <w:kinsoku/>
        <w:wordWrap/>
        <w:overflowPunct/>
        <w:topLinePunct w:val="0"/>
        <w:autoSpaceDE/>
        <w:autoSpaceDN/>
        <w:bidi w:val="0"/>
        <w:adjustRightInd/>
        <w:snapToGrid/>
        <w:spacing w:before="319" w:beforeLines="100" w:after="319" w:afterLines="100" w:line="560" w:lineRule="exact"/>
        <w:jc w:val="center"/>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第三章 交易主体的监督管理</w:t>
      </w:r>
    </w:p>
    <w:p w14:paraId="78ABE26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第七条</w:t>
      </w:r>
      <w:r>
        <w:rPr>
          <w:rFonts w:hint="eastAsia" w:ascii="仿宋_GB2312" w:hAnsi="仿宋_GB2312" w:eastAsia="仿宋_GB2312" w:cs="仿宋_GB2312"/>
          <w:sz w:val="32"/>
          <w:szCs w:val="32"/>
          <w:lang w:eastAsia="zh-CN"/>
        </w:rPr>
        <w:t xml:space="preserve"> 农业用水权交易应当通过中国水权交易所或江西省公共资源交易平台（或吉安市公共资源交易网）向社会公布水权转让意愿与水权受让需求信息，包括拟交易水量、交易期限等。交易完成后，向社会公示水权交易信息，包括转让方、受让方、交易水量、交易价格、交易期限、成交日期、交易方式等。 </w:t>
      </w:r>
    </w:p>
    <w:p w14:paraId="4B1B002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转让意愿与受让需求信息自发布之日起3日内未达成交易的，需重新提交更新后的信息；交易完成后的公示信息需在平台留存至少3年，供公众查询追溯。</w:t>
      </w:r>
    </w:p>
    <w:p w14:paraId="6E14F8A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第八条</w:t>
      </w:r>
      <w:r>
        <w:rPr>
          <w:rFonts w:hint="eastAsia" w:ascii="仿宋_GB2312" w:hAnsi="仿宋_GB2312" w:eastAsia="仿宋_GB2312" w:cs="仿宋_GB2312"/>
          <w:sz w:val="32"/>
          <w:szCs w:val="32"/>
          <w:lang w:eastAsia="zh-CN"/>
        </w:rPr>
        <w:t xml:space="preserve"> 吉安市水利局应加强对转让方的监督管理。 </w:t>
      </w:r>
    </w:p>
    <w:p w14:paraId="64B2A24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（一）对于农业用水户水权交易，应核查其用水权权属凭证，确保用水凭证真实有效，或核查其所在灌区或地方制定的用水计划，确保其在用水计划管理范围； </w:t>
      </w:r>
    </w:p>
    <w:p w14:paraId="7F19E77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（二）对于其他用水权交易，应核查其组织机构代码证、营业执照、法人代表有效身份证件、特许经营权证明文件或其他能够证明其身份真实、有效，并具有农业用水权转让能力的资料或文件。 </w:t>
      </w:r>
    </w:p>
    <w:p w14:paraId="1546E70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第九条</w:t>
      </w:r>
      <w:r>
        <w:rPr>
          <w:rFonts w:hint="eastAsia" w:ascii="仿宋_GB2312" w:hAnsi="仿宋_GB2312" w:eastAsia="仿宋_GB2312" w:cs="仿宋_GB2312"/>
          <w:sz w:val="32"/>
          <w:szCs w:val="32"/>
          <w:lang w:eastAsia="zh-CN"/>
        </w:rPr>
        <w:t xml:space="preserve"> 吉安市水利局应加强对受让方的监督管理。 </w:t>
      </w:r>
    </w:p>
    <w:p w14:paraId="01A8EEF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（一）对于农业用水户水权交易，应核查其所在灌区或地方制定的用水计划，确保其已在或计划纳入用水计划管理范围； </w:t>
      </w:r>
    </w:p>
    <w:p w14:paraId="6CCABCA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（二）对于其他农业用水权交易，应核查其组织机构代码证、营业执照、法人代表有效身份证件或其他能够证明其身份真实、有效，并具有用水权受让、回购资格的资料或文件。 </w:t>
      </w:r>
    </w:p>
    <w:p w14:paraId="7600D40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第十条</w:t>
      </w:r>
      <w:r>
        <w:rPr>
          <w:rFonts w:hint="eastAsia" w:ascii="仿宋_GB2312" w:hAnsi="仿宋_GB2312" w:eastAsia="仿宋_GB2312" w:cs="仿宋_GB2312"/>
          <w:sz w:val="32"/>
          <w:szCs w:val="32"/>
          <w:lang w:eastAsia="zh-CN"/>
        </w:rPr>
        <w:t xml:space="preserve"> 吉安市水利局应当监督交易主体遵守有关法律法规和规范性文件，交易主体不得有以下行为： </w:t>
      </w:r>
    </w:p>
    <w:p w14:paraId="344E598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（一）隐瞒节约水量真实性、合理性、交易用途等有关情况或者提供虚假材料，骗取农业用水权交易批准文件； </w:t>
      </w:r>
    </w:p>
    <w:p w14:paraId="4E55C9C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（二）通过农业用水权交易非法挤占农业及生态用水； </w:t>
      </w:r>
    </w:p>
    <w:p w14:paraId="130A122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（三）冒用、借用他人名义交易或者以其他方式弄虚作假交易水权； </w:t>
      </w:r>
    </w:p>
    <w:p w14:paraId="491BBBB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（四）串通或者通过行贿等违法手段谋取交易； </w:t>
      </w:r>
    </w:p>
    <w:p w14:paraId="2F82FAD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（五）虚假、恶意投诉排挤竞争对手，阻碍农业用水权交易活动正常进行； </w:t>
      </w:r>
    </w:p>
    <w:p w14:paraId="667D720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（六）以不合理的条件排斥、歧视潜在应牌方； </w:t>
      </w:r>
    </w:p>
    <w:p w14:paraId="6AE69D4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（七）买入后卖出或卖出后买入的时间间隔少于5个交易日；</w:t>
      </w:r>
    </w:p>
    <w:p w14:paraId="1A9E9F5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（八）其他违反法律、法规、规章的行为。 </w:t>
      </w:r>
    </w:p>
    <w:p w14:paraId="1164CF9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交易主体若存在以上行为，一经查证将中（终）止交易，存在违法违规行为的，依据有关法律法规进行处理。 </w:t>
      </w:r>
    </w:p>
    <w:p w14:paraId="7EBFEDD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第十一条</w:t>
      </w:r>
      <w:r>
        <w:rPr>
          <w:rFonts w:hint="eastAsia" w:ascii="仿宋_GB2312" w:hAnsi="仿宋_GB2312" w:eastAsia="仿宋_GB2312" w:cs="仿宋_GB2312"/>
          <w:sz w:val="32"/>
          <w:szCs w:val="32"/>
          <w:lang w:eastAsia="zh-CN"/>
        </w:rPr>
        <w:t xml:space="preserve"> 农业用水权交易主体或者其他利害关系人对交易文件、交易结果等持有异议且协商不能达成一致意见的，可以向吉安市水利局投诉或向交易平台提出调解申请，也可依法向仲裁机构申请仲裁或者向人民法院提起诉讼。协商、仲裁或判决结果应及时报告吉安市水利局。 </w:t>
      </w:r>
    </w:p>
    <w:p w14:paraId="5EEBE85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第十二条</w:t>
      </w:r>
      <w:r>
        <w:rPr>
          <w:rFonts w:hint="eastAsia" w:ascii="仿宋_GB2312" w:hAnsi="仿宋_GB2312" w:eastAsia="仿宋_GB2312" w:cs="仿宋_GB2312"/>
          <w:sz w:val="32"/>
          <w:szCs w:val="32"/>
          <w:lang w:eastAsia="zh-CN"/>
        </w:rPr>
        <w:t xml:space="preserve"> 对社会影响较大、影响范围较广的农业用水权交易，吉安市水利局应当跟踪督促交易主体履行合同，维护公共利益。 </w:t>
      </w:r>
    </w:p>
    <w:p w14:paraId="7F76AECC">
      <w:pPr>
        <w:keepNext w:val="0"/>
        <w:keepLines w:val="0"/>
        <w:pageBreakBefore w:val="0"/>
        <w:widowControl w:val="0"/>
        <w:kinsoku/>
        <w:wordWrap/>
        <w:overflowPunct/>
        <w:topLinePunct w:val="0"/>
        <w:autoSpaceDE/>
        <w:autoSpaceDN/>
        <w:bidi w:val="0"/>
        <w:adjustRightInd/>
        <w:snapToGrid/>
        <w:spacing w:before="319" w:beforeLines="100" w:after="319" w:afterLines="100" w:line="560" w:lineRule="exact"/>
        <w:jc w:val="center"/>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第四章 交易水量的监督管理</w:t>
      </w:r>
    </w:p>
    <w:p w14:paraId="6D67C81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第十三条</w:t>
      </w:r>
      <w:r>
        <w:rPr>
          <w:rFonts w:hint="eastAsia" w:ascii="仿宋_GB2312" w:hAnsi="仿宋_GB2312" w:eastAsia="仿宋_GB2312" w:cs="仿宋_GB2312"/>
          <w:sz w:val="32"/>
          <w:szCs w:val="32"/>
          <w:lang w:eastAsia="zh-CN"/>
        </w:rPr>
        <w:t xml:space="preserve"> 吉安市水利局负责对转让方交易水量进行核查。 </w:t>
      </w:r>
    </w:p>
    <w:p w14:paraId="27A4366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（一）对于农业用水户水权交易，应核查其交易标的在农业用水户水权有效期和限额内； </w:t>
      </w:r>
    </w:p>
    <w:p w14:paraId="323895C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（二）对于其他用水权交易，应核查其交易标的真实性、水量水质符合受让方需求。 </w:t>
      </w:r>
    </w:p>
    <w:p w14:paraId="561C241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第十四条</w:t>
      </w:r>
      <w:r>
        <w:rPr>
          <w:rFonts w:hint="eastAsia" w:ascii="仿宋_GB2312" w:hAnsi="仿宋_GB2312" w:eastAsia="仿宋_GB2312" w:cs="仿宋_GB2312"/>
          <w:sz w:val="32"/>
          <w:szCs w:val="32"/>
          <w:lang w:eastAsia="zh-CN"/>
        </w:rPr>
        <w:t xml:space="preserve"> 吉安市水利局从以下方面对受让的农业用水需求进行核查，符合条件的可以依法受让农业用水权。 </w:t>
      </w:r>
    </w:p>
    <w:p w14:paraId="26164BA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（一）新增取用水的建设项目符合国家、江西省或吉安市的产业政策； </w:t>
      </w:r>
    </w:p>
    <w:p w14:paraId="39DF3AA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（二）建设项目取用水符合农业用水定额标准；</w:t>
      </w:r>
    </w:p>
    <w:p w14:paraId="04A97EE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（三）拟取用的水量未超过所在地区地下水管控指标确定的可用水量。 </w:t>
      </w:r>
    </w:p>
    <w:p w14:paraId="256EFDA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第十五条</w:t>
      </w:r>
      <w:r>
        <w:rPr>
          <w:rFonts w:hint="eastAsia" w:ascii="仿宋_GB2312" w:hAnsi="仿宋_GB2312" w:eastAsia="仿宋_GB2312" w:cs="仿宋_GB2312"/>
          <w:sz w:val="32"/>
          <w:szCs w:val="32"/>
          <w:lang w:eastAsia="zh-CN"/>
        </w:rPr>
        <w:t xml:space="preserve"> 属于以下情形的，不得开展交易。 </w:t>
      </w:r>
    </w:p>
    <w:p w14:paraId="7DF4A20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（一）擅自改变取水水源的； </w:t>
      </w:r>
    </w:p>
    <w:p w14:paraId="0461E2B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（二）水资源用途改变可能对第三方或者社会公众利益产生重大损害的； </w:t>
      </w:r>
    </w:p>
    <w:p w14:paraId="6EE3C56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（三）法律、法规规定的其他情形。 </w:t>
      </w:r>
    </w:p>
    <w:p w14:paraId="7898E6B5">
      <w:pPr>
        <w:keepNext w:val="0"/>
        <w:keepLines w:val="0"/>
        <w:pageBreakBefore w:val="0"/>
        <w:widowControl w:val="0"/>
        <w:kinsoku/>
        <w:wordWrap/>
        <w:overflowPunct/>
        <w:topLinePunct w:val="0"/>
        <w:autoSpaceDE/>
        <w:autoSpaceDN/>
        <w:bidi w:val="0"/>
        <w:adjustRightInd/>
        <w:snapToGrid/>
        <w:spacing w:before="319" w:beforeLines="100" w:after="319" w:afterLines="100" w:line="560" w:lineRule="exact"/>
        <w:jc w:val="center"/>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第五章 交易履约的监督管理</w:t>
      </w:r>
    </w:p>
    <w:p w14:paraId="356E619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第十六条</w:t>
      </w:r>
      <w:r>
        <w:rPr>
          <w:rFonts w:hint="eastAsia" w:ascii="仿宋_GB2312" w:hAnsi="仿宋_GB2312" w:eastAsia="仿宋_GB2312" w:cs="仿宋_GB2312"/>
          <w:sz w:val="32"/>
          <w:szCs w:val="32"/>
          <w:lang w:eastAsia="zh-CN"/>
        </w:rPr>
        <w:t xml:space="preserve"> 吉安市水利局对交易执行期间交易双方是否存在超取水限额或取水范围取用水情况、是否按照交易协议规定的用途用水、计量监测设施安装运行情况等履约情况进行随机抽查。 </w:t>
      </w:r>
    </w:p>
    <w:p w14:paraId="2DBFBC6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第十七条</w:t>
      </w:r>
      <w:r>
        <w:rPr>
          <w:rFonts w:hint="eastAsia" w:ascii="仿宋_GB2312" w:hAnsi="仿宋_GB2312" w:eastAsia="仿宋_GB2312" w:cs="仿宋_GB2312"/>
          <w:sz w:val="32"/>
          <w:szCs w:val="32"/>
          <w:lang w:eastAsia="zh-CN"/>
        </w:rPr>
        <w:t xml:space="preserve"> 吉安市水利局对交易执行期间交易双方交易资金履约进行监督管理，依据交易协议检查受让方是否依照协议约定向转让方支付交易资金，对违反协议约定违约的予以约谈，仍不遵守协议约定拖欠或不足额支付价款的，协助转让方依法依规终止交易，并及时提醒交易平台将违约方纳入交易黑/灰名单。 </w:t>
      </w:r>
    </w:p>
    <w:p w14:paraId="2DD07AF7">
      <w:pPr>
        <w:keepNext w:val="0"/>
        <w:keepLines w:val="0"/>
        <w:pageBreakBefore w:val="0"/>
        <w:widowControl w:val="0"/>
        <w:kinsoku/>
        <w:wordWrap/>
        <w:overflowPunct/>
        <w:topLinePunct w:val="0"/>
        <w:autoSpaceDE/>
        <w:autoSpaceDN/>
        <w:bidi w:val="0"/>
        <w:adjustRightInd/>
        <w:snapToGrid/>
        <w:spacing w:before="319" w:beforeLines="100" w:after="319" w:afterLines="100" w:line="560" w:lineRule="exact"/>
        <w:jc w:val="center"/>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第六章 交易资金的监督管理</w:t>
      </w:r>
    </w:p>
    <w:p w14:paraId="03C9CC3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第十八条</w:t>
      </w:r>
      <w:r>
        <w:rPr>
          <w:rFonts w:hint="eastAsia" w:ascii="仿宋_GB2312" w:hAnsi="仿宋_GB2312" w:eastAsia="仿宋_GB2312" w:cs="仿宋_GB2312"/>
          <w:sz w:val="32"/>
          <w:szCs w:val="32"/>
          <w:lang w:eastAsia="zh-CN"/>
        </w:rPr>
        <w:t xml:space="preserve"> 吉安市水利局和市“两山”公司参与农业用水权回购、受让的，应确保资金的筹集、使用和管理合法合规，具体职责包括： </w:t>
      </w:r>
    </w:p>
    <w:p w14:paraId="7385587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（一）审核、汇总、编报农业用水权回购、交易支出预算、财务决算，审批年度财务决算； </w:t>
      </w:r>
    </w:p>
    <w:p w14:paraId="69480FD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（二）合理安排资金，及时调度、拨付和使用农业用水权回购、交易资金； </w:t>
      </w:r>
    </w:p>
    <w:p w14:paraId="7A68E13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（三）监督管理年度投资计划安排（包括年度计划调整）、合同签订、财务决算等； </w:t>
      </w:r>
    </w:p>
    <w:p w14:paraId="223C0C9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（四）及时纠正违规问题，对重大问题提出意见报上级主管部门。 </w:t>
      </w:r>
    </w:p>
    <w:p w14:paraId="530B085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第十九条</w:t>
      </w:r>
      <w:r>
        <w:rPr>
          <w:rFonts w:hint="eastAsia" w:ascii="仿宋_GB2312" w:hAnsi="仿宋_GB2312" w:eastAsia="仿宋_GB2312" w:cs="仿宋_GB2312"/>
          <w:sz w:val="32"/>
          <w:szCs w:val="32"/>
          <w:lang w:eastAsia="zh-CN"/>
        </w:rPr>
        <w:t xml:space="preserve"> 吉安市水利局和市“两山”公司应确保农业用水权交易中所获得收益的使用和管理合法合规，具体职责包括： </w:t>
      </w:r>
    </w:p>
    <w:p w14:paraId="157F9CE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（一）农业用水权交易收益是否用于经批准的水利建设、节水奖励、精准补贴、水权回购等合理用途，是否存在截留、挤占和挪用； </w:t>
      </w:r>
    </w:p>
    <w:p w14:paraId="6F9F592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（二）有无计划外和超标准使用交易收益问题； </w:t>
      </w:r>
    </w:p>
    <w:p w14:paraId="043AE84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（三）各项原始记录、统计台账、凭证账册、会计核算、财务报告是否齐全； </w:t>
      </w:r>
    </w:p>
    <w:p w14:paraId="622BABE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（四）内部制约制度等基础性工作是否健全规范。 </w:t>
      </w:r>
    </w:p>
    <w:p w14:paraId="27504D87">
      <w:pPr>
        <w:keepNext w:val="0"/>
        <w:keepLines w:val="0"/>
        <w:pageBreakBefore w:val="0"/>
        <w:widowControl w:val="0"/>
        <w:kinsoku/>
        <w:wordWrap/>
        <w:overflowPunct/>
        <w:topLinePunct w:val="0"/>
        <w:autoSpaceDE/>
        <w:autoSpaceDN/>
        <w:bidi w:val="0"/>
        <w:adjustRightInd/>
        <w:snapToGrid/>
        <w:spacing w:before="319" w:beforeLines="100" w:after="319" w:afterLines="100" w:line="560" w:lineRule="exact"/>
        <w:jc w:val="center"/>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第七章 信息披露及社会监督</w:t>
      </w:r>
    </w:p>
    <w:p w14:paraId="0CAB041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第二十条</w:t>
      </w:r>
      <w:r>
        <w:rPr>
          <w:rFonts w:hint="eastAsia" w:ascii="仿宋_GB2312" w:hAnsi="仿宋_GB2312" w:eastAsia="仿宋_GB2312" w:cs="仿宋_GB2312"/>
          <w:sz w:val="32"/>
          <w:szCs w:val="32"/>
          <w:lang w:eastAsia="zh-CN"/>
        </w:rPr>
        <w:t xml:space="preserve"> 吉安市水利局负责信息披露工作，对农业用水权交易信息、交易行情、重大事项进行公开披露，并确保披露的信息真实、准确、完整、及时。除应披露的信息外，市“两山”公司应当为交易主体的交易信息保密，不得利用交易主体提供的信息从事任何与交易无关或有损交易主体利益的活动。 </w:t>
      </w:r>
    </w:p>
    <w:p w14:paraId="1A5378D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第二十一条</w:t>
      </w:r>
      <w:r>
        <w:rPr>
          <w:rFonts w:hint="eastAsia" w:ascii="仿宋_GB2312" w:hAnsi="仿宋_GB2312" w:eastAsia="仿宋_GB2312" w:cs="仿宋_GB2312"/>
          <w:sz w:val="32"/>
          <w:szCs w:val="32"/>
          <w:lang w:eastAsia="zh-CN"/>
        </w:rPr>
        <w:t xml:space="preserve"> 任何单位和个人有权对农业用水权交易中违反有关法律、法规的行为向吉安市水利局检举、投诉。 </w:t>
      </w:r>
    </w:p>
    <w:p w14:paraId="5D56313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第二十二条</w:t>
      </w:r>
      <w:r>
        <w:rPr>
          <w:rFonts w:hint="eastAsia" w:ascii="仿宋_GB2312" w:hAnsi="仿宋_GB2312" w:eastAsia="仿宋_GB2312" w:cs="仿宋_GB2312"/>
          <w:sz w:val="32"/>
          <w:szCs w:val="32"/>
          <w:lang w:eastAsia="zh-CN"/>
        </w:rPr>
        <w:t xml:space="preserve"> 吉安市水利局可聘请第三方对交易主体节水措施及其节约用水情况核查。 </w:t>
      </w:r>
    </w:p>
    <w:p w14:paraId="194209A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第二十三条</w:t>
      </w:r>
      <w:r>
        <w:rPr>
          <w:rFonts w:hint="eastAsia" w:ascii="仿宋_GB2312" w:hAnsi="仿宋_GB2312" w:eastAsia="仿宋_GB2312" w:cs="仿宋_GB2312"/>
          <w:sz w:val="32"/>
          <w:szCs w:val="32"/>
          <w:lang w:eastAsia="zh-CN"/>
        </w:rPr>
        <w:t xml:space="preserve"> 农业经营主体及农村集体经济组织调整种植结构、投资高效节水管理等措施进行农业用水权交易过程中发生纠纷的，由有关各方协商解决，协商不成的，可以申请吉安市水利局调解，也可依法申请仲裁或向人民法院起诉。 </w:t>
      </w:r>
    </w:p>
    <w:p w14:paraId="7EF7B1F0">
      <w:pPr>
        <w:keepNext w:val="0"/>
        <w:keepLines w:val="0"/>
        <w:pageBreakBefore w:val="0"/>
        <w:widowControl w:val="0"/>
        <w:kinsoku/>
        <w:wordWrap/>
        <w:overflowPunct/>
        <w:topLinePunct w:val="0"/>
        <w:autoSpaceDE/>
        <w:autoSpaceDN/>
        <w:bidi w:val="0"/>
        <w:adjustRightInd/>
        <w:snapToGrid/>
        <w:spacing w:before="319" w:beforeLines="100" w:after="319" w:afterLines="100" w:line="560" w:lineRule="exact"/>
        <w:jc w:val="center"/>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第八章 附则</w:t>
      </w:r>
    </w:p>
    <w:p w14:paraId="5E458CF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第二十四条</w:t>
      </w:r>
      <w:r>
        <w:rPr>
          <w:rFonts w:hint="eastAsia" w:ascii="仿宋_GB2312" w:hAnsi="仿宋_GB2312" w:eastAsia="仿宋_GB2312" w:cs="仿宋_GB2312"/>
          <w:sz w:val="32"/>
          <w:szCs w:val="32"/>
          <w:lang w:eastAsia="zh-CN"/>
        </w:rPr>
        <w:t xml:space="preserve"> 本办法未作规定的，依照《吉安市农业用水权交易管理办法》等相关法律法规和监管规定执行。</w:t>
      </w:r>
    </w:p>
    <w:p w14:paraId="27F034D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第二十五条</w:t>
      </w:r>
      <w:r>
        <w:rPr>
          <w:rFonts w:hint="eastAsia" w:ascii="仿宋_GB2312" w:hAnsi="仿宋_GB2312" w:eastAsia="仿宋_GB2312" w:cs="仿宋_GB2312"/>
          <w:sz w:val="32"/>
          <w:szCs w:val="32"/>
          <w:lang w:eastAsia="zh-CN"/>
        </w:rPr>
        <w:t xml:space="preserve"> 本办法自印发日起试</w:t>
      </w:r>
      <w:bookmarkStart w:id="0" w:name="_GoBack"/>
      <w:bookmarkEnd w:id="0"/>
      <w:r>
        <w:rPr>
          <w:rFonts w:hint="eastAsia" w:ascii="仿宋_GB2312" w:hAnsi="仿宋_GB2312" w:eastAsia="仿宋_GB2312" w:cs="仿宋_GB2312"/>
          <w:sz w:val="32"/>
          <w:szCs w:val="32"/>
          <w:lang w:eastAsia="zh-CN"/>
        </w:rPr>
        <w:t>行，有效期2年。</w:t>
      </w:r>
    </w:p>
    <w:p w14:paraId="0351E466">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sz w:val="32"/>
          <w:szCs w:val="32"/>
          <w:lang w:val="en-US" w:eastAsia="zh-CN"/>
        </w:rPr>
      </w:pPr>
    </w:p>
    <w:p w14:paraId="67763A9F">
      <w:pPr>
        <w:rPr>
          <w:rFonts w:hint="default"/>
          <w:lang w:val="en-US" w:eastAsia="zh-CN"/>
        </w:rPr>
      </w:pPr>
    </w:p>
    <w:p w14:paraId="4E4511ED">
      <w:pPr>
        <w:rPr>
          <w:rFonts w:hint="default"/>
          <w:lang w:val="en-US" w:eastAsia="zh-CN"/>
        </w:rPr>
      </w:pPr>
    </w:p>
    <w:p w14:paraId="02344950">
      <w:pPr>
        <w:rPr>
          <w:rFonts w:hint="default"/>
          <w:lang w:val="en-US" w:eastAsia="zh-CN"/>
        </w:rPr>
      </w:pPr>
    </w:p>
    <w:sectPr>
      <w:footerReference r:id="rId3" w:type="default"/>
      <w:pgSz w:w="11905" w:h="16838"/>
      <w:pgMar w:top="2098" w:right="1531" w:bottom="1701" w:left="1531" w:header="851" w:footer="992" w:gutter="0"/>
      <w:pgNumType w:fmt="decimal"/>
      <w:cols w:space="0" w:num="1"/>
      <w:rtlGutter w:val="0"/>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080E0000" w:usb2="00000000" w:usb3="00000000" w:csb0="00040001" w:csb1="00000000"/>
  </w:font>
  <w:font w:name="Wingdings">
    <w:altName w:val="宋体-PUA"/>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宋体-PUA"/>
    <w:panose1 w:val="05050102010706020507"/>
    <w:charset w:val="02"/>
    <w:family w:val="roman"/>
    <w:pitch w:val="default"/>
    <w:sig w:usb0="00000000" w:usb1="00000000" w:usb2="00000000" w:usb3="00000000" w:csb0="80000000" w:csb1="00000000"/>
  </w:font>
  <w:font w:name="Calibri">
    <w:altName w:val="Times New Roman"/>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FangSong_GB2312">
    <w:panose1 w:val="02010609030101010101"/>
    <w:charset w:val="86"/>
    <w:family w:val="roman"/>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小标宋简体">
    <w:panose1 w:val="03000509000000000000"/>
    <w:charset w:val="86"/>
    <w:family w:val="auto"/>
    <w:pitch w:val="default"/>
    <w:sig w:usb0="00000001" w:usb1="080E0000" w:usb2="00000000" w:usb3="00000000" w:csb0="00040000" w:csb1="00000000"/>
  </w:font>
  <w:font w:name="微软雅黑">
    <w:altName w:val="黑体"/>
    <w:panose1 w:val="00000000000000000000"/>
    <w:charset w:val="00"/>
    <w:family w:val="auto"/>
    <w:pitch w:val="default"/>
    <w:sig w:usb0="00000000" w:usb1="00000000" w:usb2="00000000" w:usb3="00000000" w:csb0="00000000" w:csb1="00000000"/>
  </w:font>
  <w:font w:name="Tahoma">
    <w:altName w:val="noto sans thai"/>
    <w:panose1 w:val="00000000000000000000"/>
    <w:charset w:val="00"/>
    <w:family w:val="auto"/>
    <w:pitch w:val="default"/>
    <w:sig w:usb0="00000000" w:usb1="00000000" w:usb2="00000000" w:usb3="00000000" w:csb0="00000000" w:csb1="00000000"/>
  </w:font>
  <w:font w:name="宋体-PUA">
    <w:panose1 w:val="02010600030101010101"/>
    <w:charset w:val="86"/>
    <w:family w:val="auto"/>
    <w:pitch w:val="default"/>
    <w:sig w:usb0="00000000" w:usb1="10000000" w:usb2="00000000" w:usb3="00000000" w:csb0="00040000" w:csb1="00000000"/>
  </w:font>
  <w:font w:name="noto sans thai">
    <w:panose1 w:val="020B0502040504020204"/>
    <w:charset w:val="00"/>
    <w:family w:val="auto"/>
    <w:pitch w:val="default"/>
    <w:sig w:usb0="81000063" w:usb1="00002000" w:usb2="00000000" w:usb3="00000000" w:csb0="0001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46F750">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6963A28">
                          <w:pPr>
                            <w:pStyle w:val="4"/>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 xml:space="preserve">— </w:t>
                          </w:r>
                          <w:r>
                            <w:rPr>
                              <w:rFonts w:hint="eastAsia" w:asciiTheme="minorEastAsia" w:hAnsiTheme="minorEastAsia" w:eastAsiaTheme="minorEastAsia" w:cstheme="minorEastAsia"/>
                              <w:color w:val="000000" w:themeColor="text1"/>
                              <w:sz w:val="32"/>
                              <w:szCs w:val="32"/>
                              <w14:textFill>
                                <w14:solidFill>
                                  <w14:schemeClr w14:val="tx1"/>
                                </w14:solidFill>
                              </w14:textFill>
                            </w:rPr>
                            <w:fldChar w:fldCharType="begin"/>
                          </w:r>
                          <w:r>
                            <w:rPr>
                              <w:rFonts w:hint="eastAsia" w:asciiTheme="minorEastAsia" w:hAnsiTheme="minorEastAsia" w:eastAsiaTheme="minorEastAsia" w:cstheme="minorEastAsia"/>
                              <w:color w:val="000000" w:themeColor="text1"/>
                              <w:sz w:val="32"/>
                              <w:szCs w:val="32"/>
                              <w14:textFill>
                                <w14:solidFill>
                                  <w14:schemeClr w14:val="tx1"/>
                                </w14:solidFill>
                              </w14:textFill>
                            </w:rPr>
                            <w:instrText xml:space="preserve"> PAGE  \* MERGEFORMAT </w:instrText>
                          </w:r>
                          <w:r>
                            <w:rPr>
                              <w:rFonts w:hint="eastAsia" w:asciiTheme="minorEastAsia" w:hAnsiTheme="minorEastAsia" w:eastAsiaTheme="minorEastAsia" w:cstheme="minorEastAsia"/>
                              <w:color w:val="000000" w:themeColor="text1"/>
                              <w:sz w:val="32"/>
                              <w:szCs w:val="32"/>
                              <w14:textFill>
                                <w14:solidFill>
                                  <w14:schemeClr w14:val="tx1"/>
                                </w14:solidFill>
                              </w14:textFill>
                            </w:rPr>
                            <w:fldChar w:fldCharType="separate"/>
                          </w:r>
                          <w:r>
                            <w:rPr>
                              <w:rFonts w:hint="eastAsia" w:asciiTheme="minorEastAsia" w:hAnsiTheme="minorEastAsia" w:eastAsiaTheme="minorEastAsia" w:cstheme="minorEastAsia"/>
                              <w:color w:val="000000" w:themeColor="text1"/>
                              <w:sz w:val="32"/>
                              <w:szCs w:val="32"/>
                              <w14:textFill>
                                <w14:solidFill>
                                  <w14:schemeClr w14:val="tx1"/>
                                </w14:solidFill>
                              </w14:textFill>
                            </w:rPr>
                            <w:t>1</w:t>
                          </w:r>
                          <w:r>
                            <w:rPr>
                              <w:rFonts w:hint="eastAsia" w:asciiTheme="minorEastAsia" w:hAnsiTheme="minorEastAsia" w:eastAsiaTheme="minorEastAsia" w:cstheme="minorEastAsia"/>
                              <w:color w:val="000000" w:themeColor="text1"/>
                              <w:sz w:val="32"/>
                              <w:szCs w:val="32"/>
                              <w14:textFill>
                                <w14:solidFill>
                                  <w14:schemeClr w14:val="tx1"/>
                                </w14:solidFill>
                              </w14:textFill>
                            </w:rPr>
                            <w:fldChar w:fldCharType="end"/>
                          </w:r>
                          <w:r>
                            <w:rPr>
                              <w:rFonts w:hint="eastAsia" w:asciiTheme="minorEastAsia" w:hAnsiTheme="minorEastAsia" w:eastAsiaTheme="minorEastAsia" w:cstheme="minorEastAsia"/>
                              <w:color w:val="000000" w:themeColor="text1"/>
                              <w:sz w:val="32"/>
                              <w:szCs w:val="32"/>
                              <w14:textFill>
                                <w14:solidFill>
                                  <w14:schemeClr w14:val="tx1"/>
                                </w14:solidFill>
                              </w14:textFill>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6963A28">
                    <w:pPr>
                      <w:pStyle w:val="4"/>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 xml:space="preserve">— </w:t>
                    </w:r>
                    <w:r>
                      <w:rPr>
                        <w:rFonts w:hint="eastAsia" w:asciiTheme="minorEastAsia" w:hAnsiTheme="minorEastAsia" w:eastAsiaTheme="minorEastAsia" w:cstheme="minorEastAsia"/>
                        <w:color w:val="000000" w:themeColor="text1"/>
                        <w:sz w:val="32"/>
                        <w:szCs w:val="32"/>
                        <w14:textFill>
                          <w14:solidFill>
                            <w14:schemeClr w14:val="tx1"/>
                          </w14:solidFill>
                        </w14:textFill>
                      </w:rPr>
                      <w:fldChar w:fldCharType="begin"/>
                    </w:r>
                    <w:r>
                      <w:rPr>
                        <w:rFonts w:hint="eastAsia" w:asciiTheme="minorEastAsia" w:hAnsiTheme="minorEastAsia" w:eastAsiaTheme="minorEastAsia" w:cstheme="minorEastAsia"/>
                        <w:color w:val="000000" w:themeColor="text1"/>
                        <w:sz w:val="32"/>
                        <w:szCs w:val="32"/>
                        <w14:textFill>
                          <w14:solidFill>
                            <w14:schemeClr w14:val="tx1"/>
                          </w14:solidFill>
                        </w14:textFill>
                      </w:rPr>
                      <w:instrText xml:space="preserve"> PAGE  \* MERGEFORMAT </w:instrText>
                    </w:r>
                    <w:r>
                      <w:rPr>
                        <w:rFonts w:hint="eastAsia" w:asciiTheme="minorEastAsia" w:hAnsiTheme="minorEastAsia" w:eastAsiaTheme="minorEastAsia" w:cstheme="minorEastAsia"/>
                        <w:color w:val="000000" w:themeColor="text1"/>
                        <w:sz w:val="32"/>
                        <w:szCs w:val="32"/>
                        <w14:textFill>
                          <w14:solidFill>
                            <w14:schemeClr w14:val="tx1"/>
                          </w14:solidFill>
                        </w14:textFill>
                      </w:rPr>
                      <w:fldChar w:fldCharType="separate"/>
                    </w:r>
                    <w:r>
                      <w:rPr>
                        <w:rFonts w:hint="eastAsia" w:asciiTheme="minorEastAsia" w:hAnsiTheme="minorEastAsia" w:eastAsiaTheme="minorEastAsia" w:cstheme="minorEastAsia"/>
                        <w:color w:val="000000" w:themeColor="text1"/>
                        <w:sz w:val="32"/>
                        <w:szCs w:val="32"/>
                        <w14:textFill>
                          <w14:solidFill>
                            <w14:schemeClr w14:val="tx1"/>
                          </w14:solidFill>
                        </w14:textFill>
                      </w:rPr>
                      <w:t>1</w:t>
                    </w:r>
                    <w:r>
                      <w:rPr>
                        <w:rFonts w:hint="eastAsia" w:asciiTheme="minorEastAsia" w:hAnsiTheme="minorEastAsia" w:eastAsiaTheme="minorEastAsia" w:cstheme="minorEastAsia"/>
                        <w:color w:val="000000" w:themeColor="text1"/>
                        <w:sz w:val="32"/>
                        <w:szCs w:val="32"/>
                        <w14:textFill>
                          <w14:solidFill>
                            <w14:schemeClr w14:val="tx1"/>
                          </w14:solidFill>
                        </w14:textFill>
                      </w:rPr>
                      <w:fldChar w:fldCharType="end"/>
                    </w:r>
                    <w:r>
                      <w:rPr>
                        <w:rFonts w:hint="eastAsia" w:asciiTheme="minorEastAsia" w:hAnsiTheme="minorEastAsia" w:eastAsiaTheme="minorEastAsia" w:cstheme="minorEastAsia"/>
                        <w:color w:val="000000" w:themeColor="text1"/>
                        <w:sz w:val="32"/>
                        <w:szCs w:val="32"/>
                        <w14:textFill>
                          <w14:solidFill>
                            <w14:schemeClr w14:val="tx1"/>
                          </w14:solidFill>
                        </w14:textFill>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9"/>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91227F"/>
    <w:rsid w:val="0D91227F"/>
    <w:rsid w:val="1FF766F8"/>
    <w:rsid w:val="29800515"/>
    <w:rsid w:val="33CF3353"/>
    <w:rsid w:val="34F4706D"/>
    <w:rsid w:val="375FBFC4"/>
    <w:rsid w:val="377E65BA"/>
    <w:rsid w:val="52B06BD6"/>
    <w:rsid w:val="5AB972E8"/>
    <w:rsid w:val="5BBF3B69"/>
    <w:rsid w:val="5D3D06CB"/>
    <w:rsid w:val="5DFB5573"/>
    <w:rsid w:val="5F5D3438"/>
    <w:rsid w:val="5FDF3473"/>
    <w:rsid w:val="5FFF55E5"/>
    <w:rsid w:val="69DB4031"/>
    <w:rsid w:val="6FFF52C0"/>
    <w:rsid w:val="775FE77C"/>
    <w:rsid w:val="77DF53A6"/>
    <w:rsid w:val="7B7EEE26"/>
    <w:rsid w:val="7EB15FEF"/>
    <w:rsid w:val="7F197BEA"/>
    <w:rsid w:val="7F7ED786"/>
    <w:rsid w:val="7FBD2D15"/>
    <w:rsid w:val="7FD7C315"/>
    <w:rsid w:val="7FFB65FD"/>
    <w:rsid w:val="8EFF8264"/>
    <w:rsid w:val="AEDFAA99"/>
    <w:rsid w:val="B3BBE7AE"/>
    <w:rsid w:val="B64BCA09"/>
    <w:rsid w:val="BBD793FD"/>
    <w:rsid w:val="BDC6B614"/>
    <w:rsid w:val="DAFC2B07"/>
    <w:rsid w:val="DD7FA18F"/>
    <w:rsid w:val="E3E7B9E0"/>
    <w:rsid w:val="E7BBC477"/>
    <w:rsid w:val="EBF6E79B"/>
    <w:rsid w:val="F3FBCA8F"/>
    <w:rsid w:val="F77F588E"/>
    <w:rsid w:val="F7F71404"/>
    <w:rsid w:val="FAFFC6B5"/>
    <w:rsid w:val="FEE7996C"/>
    <w:rsid w:val="FEED5377"/>
    <w:rsid w:val="FEFEBA00"/>
    <w:rsid w:val="FFCAF3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3031</Words>
  <Characters>3031</Characters>
  <Lines>0</Lines>
  <Paragraphs>0</Paragraphs>
  <TotalTime>3</TotalTime>
  <ScaleCrop>false</ScaleCrop>
  <LinksUpToDate>false</LinksUpToDate>
  <CharactersWithSpaces>3123</CharactersWithSpaces>
  <Application>WPS Office_12.8.2.20327_F1E327BC-269C-435d-A152-05C5408002CA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2025-03-26T10:42:00Z</dcterms:created>
  <dc:creator>糖醋排骨</dc:creator>
  <cp:lastModifiedBy>WPS_1756179619</cp:lastModifiedBy>
  <cp:lastPrinted>2025-12-12T15:18:00Z</cp:lastPrinted>
  <dcterms:modified xsi:type="dcterms:W3CDTF">2025-12-17T16:34:31Z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2052-12.8.2.20327</vt:lpwstr>
  </property>
  <property fmtid="{D5CDD505-2E9C-101B-9397-08002B2CF9AE}" pid="3" name="ICV">
    <vt:lpwstr>37985615EB0A4968AC8FFA9C7DDACC2E_11</vt:lpwstr>
  </property>
  <property fmtid="{D5CDD505-2E9C-101B-9397-08002B2CF9AE}" pid="4" name="KSOTemplateDocerSaveRecord">
    <vt:lpwstr>eyJoZGlkIjoiODhkZDdmYjk0YzdlMjQyODI4YWZlNTRkMjhkNTk2NmIiLCJ1c2VySWQiOiIyMjQ4Mzc2MzkifQ==</vt:lpwstr>
  </property>
</Properties>
</file>